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25" w:rsidRPr="00D05625" w:rsidRDefault="00D05625" w:rsidP="00D05625">
      <w:pPr>
        <w:spacing w:before="225" w:after="225" w:line="435" w:lineRule="atLeast"/>
        <w:outlineLvl w:val="0"/>
        <w:rPr>
          <w:rFonts w:ascii="Arial" w:eastAsia="Times New Roman" w:hAnsi="Arial" w:cs="Arial"/>
          <w:b/>
          <w:bCs/>
          <w:color w:val="5C5856"/>
          <w:kern w:val="36"/>
          <w:sz w:val="36"/>
          <w:szCs w:val="36"/>
          <w:lang w:eastAsia="nl-BE"/>
        </w:rPr>
      </w:pPr>
      <w:r w:rsidRPr="00D05625">
        <w:rPr>
          <w:rFonts w:ascii="Arial" w:eastAsia="Times New Roman" w:hAnsi="Arial" w:cs="Arial"/>
          <w:b/>
          <w:bCs/>
          <w:color w:val="5C5856"/>
          <w:kern w:val="36"/>
          <w:sz w:val="36"/>
          <w:szCs w:val="36"/>
          <w:lang w:eastAsia="nl-BE"/>
        </w:rPr>
        <w:t>Doorlopende diensten: de Btw verduidelijkt... </w:t>
      </w:r>
    </w:p>
    <w:p w:rsidR="00D05625" w:rsidRPr="00D05625" w:rsidRDefault="00D05625" w:rsidP="00D05625">
      <w:pPr>
        <w:shd w:val="clear" w:color="auto" w:fill="FFFFFF"/>
        <w:spacing w:line="324" w:lineRule="atLeast"/>
        <w:rPr>
          <w:rFonts w:ascii="Arial" w:eastAsia="Times New Roman" w:hAnsi="Arial" w:cs="Arial"/>
          <w:i/>
          <w:iCs/>
          <w:color w:val="333333"/>
          <w:sz w:val="25"/>
          <w:szCs w:val="25"/>
          <w:lang w:eastAsia="nl-BE"/>
        </w:rPr>
      </w:pPr>
      <w:r w:rsidRPr="00D05625">
        <w:rPr>
          <w:rFonts w:ascii="Arial" w:eastAsia="Times New Roman" w:hAnsi="Arial" w:cs="Arial"/>
          <w:i/>
          <w:iCs/>
          <w:color w:val="333333"/>
          <w:sz w:val="25"/>
          <w:szCs w:val="25"/>
          <w:lang w:eastAsia="nl-BE"/>
        </w:rPr>
        <w:t>Wanneer vindt het belastbaar feit plaats bij doorlopende diensten? Wat is het belang van dat belastbaar feit? Wanneer is de btw opeisbaar? Wat zegt de Btw daarover in haar circulaire van 9 juli 2019?</w:t>
      </w:r>
    </w:p>
    <w:p w:rsidR="00D05625" w:rsidRPr="00D05625" w:rsidRDefault="00D05625" w:rsidP="00D05625">
      <w:pPr>
        <w:shd w:val="clear" w:color="auto" w:fill="FFFFFF"/>
        <w:spacing w:before="300" w:after="75" w:line="324" w:lineRule="atLeast"/>
        <w:outlineLvl w:val="3"/>
        <w:rPr>
          <w:rFonts w:ascii="Arial" w:eastAsia="Times New Roman" w:hAnsi="Arial" w:cs="Arial"/>
          <w:b/>
          <w:bCs/>
          <w:caps/>
          <w:color w:val="5C5856"/>
          <w:sz w:val="23"/>
          <w:szCs w:val="23"/>
          <w:lang w:eastAsia="nl-BE"/>
        </w:rPr>
      </w:pPr>
      <w:r w:rsidRPr="00D05625">
        <w:rPr>
          <w:rFonts w:ascii="Arial" w:eastAsia="Times New Roman" w:hAnsi="Arial" w:cs="Arial"/>
          <w:b/>
          <w:bCs/>
          <w:caps/>
          <w:color w:val="5C5856"/>
          <w:sz w:val="23"/>
          <w:szCs w:val="23"/>
          <w:lang w:eastAsia="nl-BE"/>
        </w:rPr>
        <w:t>Belastbaar feit</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Wat zijn doorlopende diensten?</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 xml:space="preserve">Een doorlopende dienst is een dienst die in principe blijft verderlopen zonder dat er daarvoor telkens een nieuw contract gesloten wordt. Concreet gaat het dan onder meer om gebruiksabonnementen op databanken, telecomdiensten, verhuurdiensten, bewakingsdiensten, onderhoudscontracten met IT-bedrijven, ... In feite wordt er dan geen </w:t>
      </w:r>
      <w:bookmarkStart w:id="0" w:name="_GoBack"/>
      <w:bookmarkEnd w:id="0"/>
      <w:r w:rsidRPr="00D05625">
        <w:rPr>
          <w:rFonts w:ascii="Arial" w:eastAsia="Times New Roman" w:hAnsi="Arial" w:cs="Arial"/>
          <w:color w:val="333333"/>
          <w:sz w:val="20"/>
          <w:szCs w:val="20"/>
          <w:lang w:eastAsia="nl-BE"/>
        </w:rPr>
        <w:t xml:space="preserve">dienst op zich gefactureerd, maar wel de volledige dienstverlening gedurende een bepaalde periode en dit ongeacht de duur ervan </w:t>
      </w:r>
      <w:r w:rsidRPr="00D05625">
        <w:rPr>
          <w:rFonts w:ascii="Arial" w:eastAsia="Times New Roman" w:hAnsi="Arial" w:cs="Arial"/>
          <w:color w:val="8C8C8C"/>
          <w:sz w:val="17"/>
          <w:szCs w:val="17"/>
          <w:lang w:eastAsia="nl-BE"/>
        </w:rPr>
        <w:t>(</w:t>
      </w:r>
      <w:proofErr w:type="spellStart"/>
      <w:r w:rsidRPr="00D05625">
        <w:rPr>
          <w:rFonts w:ascii="Arial" w:eastAsia="Times New Roman" w:hAnsi="Arial" w:cs="Arial"/>
          <w:color w:val="8C8C8C"/>
          <w:sz w:val="17"/>
          <w:szCs w:val="17"/>
          <w:lang w:eastAsia="nl-BE"/>
        </w:rPr>
        <w:t>circ</w:t>
      </w:r>
      <w:proofErr w:type="spellEnd"/>
      <w:r w:rsidRPr="00D05625">
        <w:rPr>
          <w:rFonts w:ascii="Arial" w:eastAsia="Times New Roman" w:hAnsi="Arial" w:cs="Arial"/>
          <w:color w:val="8C8C8C"/>
          <w:sz w:val="17"/>
          <w:szCs w:val="17"/>
          <w:lang w:eastAsia="nl-BE"/>
        </w:rPr>
        <w:t>. 2019/C/65, 09.07.2019, nr. 106)</w:t>
      </w:r>
      <w:r w:rsidRPr="00D05625">
        <w:rPr>
          <w:rFonts w:ascii="Arial" w:eastAsia="Times New Roman" w:hAnsi="Arial" w:cs="Arial"/>
          <w:color w:val="333333"/>
          <w:sz w:val="20"/>
          <w:szCs w:val="20"/>
          <w:lang w:eastAsia="nl-BE"/>
        </w:rPr>
        <w:t xml:space="preserve"> . Hetzelfde geldt voor repetitieve diensten die erop gericht zijn zich meerdere keren voor te doen. </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 xml:space="preserve">Belang belastbaar feit </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 xml:space="preserve">Het belastbaar feit is het gebeuren dat de verschuldigdheid van de btw met zich meebrengt. Bij een verkoop is dat de levering en bij een dienst is dat normaal gezien het moment waarop de dienst is verricht (lees: voltooid) </w:t>
      </w:r>
      <w:r w:rsidRPr="00D05625">
        <w:rPr>
          <w:rFonts w:ascii="Arial" w:eastAsia="Times New Roman" w:hAnsi="Arial" w:cs="Arial"/>
          <w:color w:val="8C8C8C"/>
          <w:sz w:val="17"/>
          <w:szCs w:val="17"/>
          <w:lang w:eastAsia="nl-BE"/>
        </w:rPr>
        <w:t xml:space="preserve">(art. 22, §1 </w:t>
      </w:r>
      <w:proofErr w:type="spellStart"/>
      <w:r w:rsidRPr="00D05625">
        <w:rPr>
          <w:rFonts w:ascii="Arial" w:eastAsia="Times New Roman" w:hAnsi="Arial" w:cs="Arial"/>
          <w:color w:val="8C8C8C"/>
          <w:sz w:val="17"/>
          <w:szCs w:val="17"/>
          <w:lang w:eastAsia="nl-BE"/>
        </w:rPr>
        <w:t>W.Btw</w:t>
      </w:r>
      <w:proofErr w:type="spellEnd"/>
      <w:r w:rsidRPr="00D05625">
        <w:rPr>
          <w:rFonts w:ascii="Arial" w:eastAsia="Times New Roman" w:hAnsi="Arial" w:cs="Arial"/>
          <w:color w:val="8C8C8C"/>
          <w:sz w:val="17"/>
          <w:szCs w:val="17"/>
          <w:lang w:eastAsia="nl-BE"/>
        </w:rPr>
        <w:t>)</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Het belastbaar feit bepaalt tot wanneer u tijd heeft om te factureren, nl. tot de 15de kalenderdag van de maand die volgt op dat belastbaar feit. Als u niet tijdig factureert, dan bepaalt het belastbaar feit ook het tijdstip van opeisbaarheid van de btw. De btw wordt dan immers sowieso opeisbaar op de 15de dag van de maand die volgt op de maand waarin het belastbaar feit zich voorgedaan heeft.</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inherit" w:eastAsia="Times New Roman" w:hAnsi="inherit" w:cs="Arial"/>
          <w:b/>
          <w:bCs/>
          <w:color w:val="333333"/>
          <w:sz w:val="20"/>
          <w:szCs w:val="20"/>
          <w:lang w:eastAsia="nl-BE"/>
        </w:rPr>
        <w:t xml:space="preserve">De datum van </w:t>
      </w:r>
      <w:proofErr w:type="spellStart"/>
      <w:r w:rsidRPr="00D05625">
        <w:rPr>
          <w:rFonts w:ascii="inherit" w:eastAsia="Times New Roman" w:hAnsi="inherit" w:cs="Arial"/>
          <w:b/>
          <w:bCs/>
          <w:color w:val="333333"/>
          <w:sz w:val="20"/>
          <w:szCs w:val="20"/>
          <w:lang w:eastAsia="nl-BE"/>
        </w:rPr>
        <w:t>hetbelastbaar</w:t>
      </w:r>
      <w:proofErr w:type="spellEnd"/>
      <w:r w:rsidRPr="00D05625">
        <w:rPr>
          <w:rFonts w:ascii="inherit" w:eastAsia="Times New Roman" w:hAnsi="inherit" w:cs="Arial"/>
          <w:b/>
          <w:bCs/>
          <w:color w:val="333333"/>
          <w:sz w:val="20"/>
          <w:szCs w:val="20"/>
          <w:lang w:eastAsia="nl-BE"/>
        </w:rPr>
        <w:t xml:space="preserve"> feit</w:t>
      </w:r>
      <w:r w:rsidRPr="00D05625">
        <w:rPr>
          <w:rFonts w:ascii="Arial" w:eastAsia="Times New Roman" w:hAnsi="Arial" w:cs="Arial"/>
          <w:color w:val="333333"/>
          <w:sz w:val="20"/>
          <w:szCs w:val="20"/>
          <w:lang w:eastAsia="nl-BE"/>
        </w:rPr>
        <w:t xml:space="preserve"> moet in principe ook vermeld worden op de factuur, precies om te kunnen nagaan of er wel tijdig gefactureerd werd </w:t>
      </w:r>
      <w:r w:rsidRPr="00D05625">
        <w:rPr>
          <w:rFonts w:ascii="Arial" w:eastAsia="Times New Roman" w:hAnsi="Arial" w:cs="Arial"/>
          <w:color w:val="8C8C8C"/>
          <w:sz w:val="17"/>
          <w:szCs w:val="17"/>
          <w:lang w:eastAsia="nl-BE"/>
        </w:rPr>
        <w:t>(art. 5, 5° KB nr. 1)</w:t>
      </w:r>
      <w:r w:rsidRPr="00D05625">
        <w:rPr>
          <w:rFonts w:ascii="Arial" w:eastAsia="Times New Roman" w:hAnsi="Arial" w:cs="Arial"/>
          <w:color w:val="333333"/>
          <w:sz w:val="20"/>
          <w:szCs w:val="20"/>
          <w:lang w:eastAsia="nl-BE"/>
        </w:rPr>
        <w:t xml:space="preserve"> . Verschilt de datum van het belastbaar feit niet van de datum van de factuur, dan volstaat het om alleen de datum van de factuur te vermelden. </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Doorlopende dienst</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 xml:space="preserve">Voor een dienst is het belastbaar feit in principe het moment waarop de dienst beëindigd wordt. Bij doorlopende of herhaalde diensten die aanleiding geven tot opeenvolgende afrekeningen of betalingen, wordt de dienst als verricht beschouwd bij het verstrijken van elke periode waarop een afrekening of betaling betrekking heeft </w:t>
      </w:r>
      <w:r w:rsidRPr="00D05625">
        <w:rPr>
          <w:rFonts w:ascii="Arial" w:eastAsia="Times New Roman" w:hAnsi="Arial" w:cs="Arial"/>
          <w:color w:val="8C8C8C"/>
          <w:sz w:val="17"/>
          <w:szCs w:val="17"/>
          <w:lang w:eastAsia="nl-BE"/>
        </w:rPr>
        <w:t xml:space="preserve">(art. 22, §2, lid 1 </w:t>
      </w:r>
      <w:proofErr w:type="spellStart"/>
      <w:r w:rsidRPr="00D05625">
        <w:rPr>
          <w:rFonts w:ascii="Arial" w:eastAsia="Times New Roman" w:hAnsi="Arial" w:cs="Arial"/>
          <w:color w:val="8C8C8C"/>
          <w:sz w:val="17"/>
          <w:szCs w:val="17"/>
          <w:lang w:eastAsia="nl-BE"/>
        </w:rPr>
        <w:t>W.Btw</w:t>
      </w:r>
      <w:proofErr w:type="spellEnd"/>
      <w:r w:rsidRPr="00D05625">
        <w:rPr>
          <w:rFonts w:ascii="Arial" w:eastAsia="Times New Roman" w:hAnsi="Arial" w:cs="Arial"/>
          <w:color w:val="8C8C8C"/>
          <w:sz w:val="17"/>
          <w:szCs w:val="17"/>
          <w:lang w:eastAsia="nl-BE"/>
        </w:rPr>
        <w:t>)</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 xml:space="preserve">Bij doorlopende intracommunautaire diensten voor een periode van langer dan één jaar die geen aanleiding geven tot afrekeningen of betalingen in die periode en waarvoor de btw verschuldigd wordt door de afnemer volgens de zgn. b2b-hoofdregel, wordt de dienst als voltooid beschouwd bij het verstrijken van elk kalenderjaar zolang de dienst doorloopt </w:t>
      </w:r>
      <w:r w:rsidRPr="00D05625">
        <w:rPr>
          <w:rFonts w:ascii="Arial" w:eastAsia="Times New Roman" w:hAnsi="Arial" w:cs="Arial"/>
          <w:color w:val="8C8C8C"/>
          <w:sz w:val="17"/>
          <w:szCs w:val="17"/>
          <w:lang w:eastAsia="nl-BE"/>
        </w:rPr>
        <w:t xml:space="preserve">(art. 22, §2, lid 2 </w:t>
      </w:r>
      <w:proofErr w:type="spellStart"/>
      <w:r w:rsidRPr="00D05625">
        <w:rPr>
          <w:rFonts w:ascii="Arial" w:eastAsia="Times New Roman" w:hAnsi="Arial" w:cs="Arial"/>
          <w:color w:val="8C8C8C"/>
          <w:sz w:val="17"/>
          <w:szCs w:val="17"/>
          <w:lang w:eastAsia="nl-BE"/>
        </w:rPr>
        <w:t>W.Btw</w:t>
      </w:r>
      <w:proofErr w:type="spellEnd"/>
      <w:r w:rsidRPr="00D05625">
        <w:rPr>
          <w:rFonts w:ascii="Arial" w:eastAsia="Times New Roman" w:hAnsi="Arial" w:cs="Arial"/>
          <w:color w:val="8C8C8C"/>
          <w:sz w:val="17"/>
          <w:szCs w:val="17"/>
          <w:lang w:eastAsia="nl-BE"/>
        </w:rPr>
        <w:t>)</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Aannemers</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lastRenderedPageBreak/>
        <w:t xml:space="preserve">Werken in onroerende staat door een aannemer worden niet beschouwd als een doorlopende dienst, ook al wordt er periodiek afgerekend door de aannemer rekening houdend met de vorderingsstaat van de werken. Het belastbaar feit doet zich dan voor op het tijdstip van de voorlopige oplevering. Dat is het tijdstip waarop de werken gebruiksklaar zijn voor de doeleinden waarvoor ze uitgevoerd werden of ook wanneer de werken in gebruik zijn genomen door de klant. Is er geen formele oplevering overeengekomen, dan aanvaardt de Btw dat de partijen de werken als voltooid beschouwen aan het einde van de derde maand die volgt op de maand waarin de werken zijn stopgezet </w:t>
      </w:r>
      <w:r w:rsidRPr="00D05625">
        <w:rPr>
          <w:rFonts w:ascii="Arial" w:eastAsia="Times New Roman" w:hAnsi="Arial" w:cs="Arial"/>
          <w:color w:val="8C8C8C"/>
          <w:sz w:val="17"/>
          <w:szCs w:val="17"/>
          <w:lang w:eastAsia="nl-BE"/>
        </w:rPr>
        <w:t>(Btw-Commentaar, Boekwerk I, Hoofdstuk 3, Afdeling 9, titel 3, rubriek A)</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before="300" w:after="75" w:line="324" w:lineRule="atLeast"/>
        <w:outlineLvl w:val="3"/>
        <w:rPr>
          <w:rFonts w:ascii="Arial" w:eastAsia="Times New Roman" w:hAnsi="Arial" w:cs="Arial"/>
          <w:b/>
          <w:bCs/>
          <w:caps/>
          <w:color w:val="5C5856"/>
          <w:sz w:val="23"/>
          <w:szCs w:val="23"/>
          <w:lang w:eastAsia="nl-BE"/>
        </w:rPr>
      </w:pPr>
      <w:r w:rsidRPr="00D05625">
        <w:rPr>
          <w:rFonts w:ascii="Arial" w:eastAsia="Times New Roman" w:hAnsi="Arial" w:cs="Arial"/>
          <w:b/>
          <w:bCs/>
          <w:caps/>
          <w:color w:val="5C5856"/>
          <w:sz w:val="23"/>
          <w:szCs w:val="23"/>
          <w:lang w:eastAsia="nl-BE"/>
        </w:rPr>
        <w:t xml:space="preserve">Tijdstip van opeisbaarheid? </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Waarover gaat het?</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inherit" w:eastAsia="Times New Roman" w:hAnsi="inherit" w:cs="Arial"/>
          <w:b/>
          <w:bCs/>
          <w:color w:val="333333"/>
          <w:sz w:val="20"/>
          <w:szCs w:val="20"/>
          <w:lang w:eastAsia="nl-BE"/>
        </w:rPr>
        <w:t>Het tijdstip van opeisbaarheid</w:t>
      </w:r>
      <w:r w:rsidRPr="00D05625">
        <w:rPr>
          <w:rFonts w:ascii="Arial" w:eastAsia="Times New Roman" w:hAnsi="Arial" w:cs="Arial"/>
          <w:color w:val="333333"/>
          <w:sz w:val="20"/>
          <w:szCs w:val="20"/>
          <w:lang w:eastAsia="nl-BE"/>
        </w:rPr>
        <w:t xml:space="preserve"> is het tijdstip waarop de Btw aanspraak kan maken op de verschuldigde btw en die dus ook effectief kan opeisen. Het is dus eigenlijk het tijdstip dat bepaalt in welke periodieke btw-aangifte de verschuldigde btw opgenomen moet worden </w:t>
      </w:r>
      <w:r w:rsidRPr="00D05625">
        <w:rPr>
          <w:rFonts w:ascii="Arial" w:eastAsia="Times New Roman" w:hAnsi="Arial" w:cs="Arial"/>
          <w:color w:val="8C8C8C"/>
          <w:sz w:val="17"/>
          <w:szCs w:val="17"/>
          <w:lang w:eastAsia="nl-BE"/>
        </w:rPr>
        <w:t>(</w:t>
      </w:r>
      <w:proofErr w:type="spellStart"/>
      <w:r w:rsidRPr="00D05625">
        <w:rPr>
          <w:rFonts w:ascii="Arial" w:eastAsia="Times New Roman" w:hAnsi="Arial" w:cs="Arial"/>
          <w:color w:val="8C8C8C"/>
          <w:sz w:val="17"/>
          <w:szCs w:val="17"/>
          <w:lang w:eastAsia="nl-BE"/>
        </w:rPr>
        <w:t>circ</w:t>
      </w:r>
      <w:proofErr w:type="spellEnd"/>
      <w:r w:rsidRPr="00D05625">
        <w:rPr>
          <w:rFonts w:ascii="Arial" w:eastAsia="Times New Roman" w:hAnsi="Arial" w:cs="Arial"/>
          <w:color w:val="8C8C8C"/>
          <w:sz w:val="17"/>
          <w:szCs w:val="17"/>
          <w:lang w:eastAsia="nl-BE"/>
        </w:rPr>
        <w:t>. 2019/C/65, 09.07.2019 nr. 7)</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Doorlopende dienst</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 xml:space="preserve">Bij een doorlopende dienst is het tijdstip van opeisbaarheid het moment van het uitreiken van de factuur. Dit principe geldt dan zowel voor facturen die opgemaakt worden na het belastbaar feit, als voor voorschotfacturen </w:t>
      </w:r>
      <w:r w:rsidRPr="00D05625">
        <w:rPr>
          <w:rFonts w:ascii="Arial" w:eastAsia="Times New Roman" w:hAnsi="Arial" w:cs="Arial"/>
          <w:color w:val="8C8C8C"/>
          <w:sz w:val="17"/>
          <w:szCs w:val="17"/>
          <w:lang w:eastAsia="nl-BE"/>
        </w:rPr>
        <w:t xml:space="preserve">(art. 22bis, §1, lid 1 </w:t>
      </w:r>
      <w:proofErr w:type="spellStart"/>
      <w:r w:rsidRPr="00D05625">
        <w:rPr>
          <w:rFonts w:ascii="Arial" w:eastAsia="Times New Roman" w:hAnsi="Arial" w:cs="Arial"/>
          <w:color w:val="8C8C8C"/>
          <w:sz w:val="17"/>
          <w:szCs w:val="17"/>
          <w:lang w:eastAsia="nl-BE"/>
        </w:rPr>
        <w:t>W.Btw</w:t>
      </w:r>
      <w:proofErr w:type="spellEnd"/>
      <w:r w:rsidRPr="00D05625">
        <w:rPr>
          <w:rFonts w:ascii="Arial" w:eastAsia="Times New Roman" w:hAnsi="Arial" w:cs="Arial"/>
          <w:color w:val="8C8C8C"/>
          <w:sz w:val="17"/>
          <w:szCs w:val="17"/>
          <w:lang w:eastAsia="nl-BE"/>
        </w:rPr>
        <w:t>)</w:t>
      </w:r>
      <w:r w:rsidRPr="00D05625">
        <w:rPr>
          <w:rFonts w:ascii="Arial" w:eastAsia="Times New Roman" w:hAnsi="Arial" w:cs="Arial"/>
          <w:color w:val="333333"/>
          <w:sz w:val="20"/>
          <w:szCs w:val="20"/>
          <w:lang w:eastAsia="nl-BE"/>
        </w:rPr>
        <w:t xml:space="preserve"> . Voor doorlopende diensten geldt dus hetzelfde principe wat betreft het tijdstip van opeisbaarheid als in een b2b-situatie </w:t>
      </w:r>
      <w:r w:rsidRPr="00D05625">
        <w:rPr>
          <w:rFonts w:ascii="Arial" w:eastAsia="Times New Roman" w:hAnsi="Arial" w:cs="Arial"/>
          <w:color w:val="8C8C8C"/>
          <w:sz w:val="17"/>
          <w:szCs w:val="17"/>
          <w:lang w:eastAsia="nl-BE"/>
        </w:rPr>
        <w:t>(</w:t>
      </w:r>
      <w:proofErr w:type="spellStart"/>
      <w:r w:rsidRPr="00D05625">
        <w:rPr>
          <w:rFonts w:ascii="Arial" w:eastAsia="Times New Roman" w:hAnsi="Arial" w:cs="Arial"/>
          <w:color w:val="8C8C8C"/>
          <w:sz w:val="17"/>
          <w:szCs w:val="17"/>
          <w:lang w:eastAsia="nl-BE"/>
        </w:rPr>
        <w:t>circ</w:t>
      </w:r>
      <w:proofErr w:type="spellEnd"/>
      <w:r w:rsidRPr="00D05625">
        <w:rPr>
          <w:rFonts w:ascii="Arial" w:eastAsia="Times New Roman" w:hAnsi="Arial" w:cs="Arial"/>
          <w:color w:val="8C8C8C"/>
          <w:sz w:val="17"/>
          <w:szCs w:val="17"/>
          <w:lang w:eastAsia="nl-BE"/>
        </w:rPr>
        <w:t>. 2019/C/65, 09.07.2019, nr. 109)</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 xml:space="preserve">Als er te laat gefactureerd wordt, wordt de btw opeisbaar op de 15de dag van de maand volgend op de maand waarin het belastbaar feit plaatsgevonden heeft </w:t>
      </w:r>
      <w:r w:rsidRPr="00D05625">
        <w:rPr>
          <w:rFonts w:ascii="Arial" w:eastAsia="Times New Roman" w:hAnsi="Arial" w:cs="Arial"/>
          <w:color w:val="8C8C8C"/>
          <w:sz w:val="17"/>
          <w:szCs w:val="17"/>
          <w:lang w:eastAsia="nl-BE"/>
        </w:rPr>
        <w:t xml:space="preserve">(art. 22bis, §1, lid 2 </w:t>
      </w:r>
      <w:proofErr w:type="spellStart"/>
      <w:r w:rsidRPr="00D05625">
        <w:rPr>
          <w:rFonts w:ascii="Arial" w:eastAsia="Times New Roman" w:hAnsi="Arial" w:cs="Arial"/>
          <w:color w:val="8C8C8C"/>
          <w:sz w:val="17"/>
          <w:szCs w:val="17"/>
          <w:lang w:eastAsia="nl-BE"/>
        </w:rPr>
        <w:t>W.Btw</w:t>
      </w:r>
      <w:proofErr w:type="spellEnd"/>
      <w:r w:rsidRPr="00D05625">
        <w:rPr>
          <w:rFonts w:ascii="Arial" w:eastAsia="Times New Roman" w:hAnsi="Arial" w:cs="Arial"/>
          <w:color w:val="8C8C8C"/>
          <w:sz w:val="17"/>
          <w:szCs w:val="17"/>
          <w:lang w:eastAsia="nl-BE"/>
        </w:rPr>
        <w:t>)</w:t>
      </w:r>
      <w:r w:rsidRPr="00D05625">
        <w:rPr>
          <w:rFonts w:ascii="Arial" w:eastAsia="Times New Roman" w:hAnsi="Arial" w:cs="Arial"/>
          <w:color w:val="333333"/>
          <w:sz w:val="20"/>
          <w:szCs w:val="20"/>
          <w:lang w:eastAsia="nl-BE"/>
        </w:rPr>
        <w:t xml:space="preserve"> . </w:t>
      </w:r>
    </w:p>
    <w:p w:rsidR="00D05625" w:rsidRPr="00D05625" w:rsidRDefault="00D05625" w:rsidP="00D05625">
      <w:pPr>
        <w:shd w:val="clear" w:color="auto" w:fill="FFFFFF"/>
        <w:spacing w:after="75" w:line="324" w:lineRule="atLeast"/>
        <w:outlineLvl w:val="4"/>
        <w:rPr>
          <w:rFonts w:ascii="Arial" w:eastAsia="Times New Roman" w:hAnsi="Arial" w:cs="Arial"/>
          <w:b/>
          <w:bCs/>
          <w:color w:val="5C5856"/>
          <w:sz w:val="21"/>
          <w:szCs w:val="21"/>
          <w:lang w:eastAsia="nl-BE"/>
        </w:rPr>
      </w:pPr>
      <w:r w:rsidRPr="00D05625">
        <w:rPr>
          <w:rFonts w:ascii="Arial" w:eastAsia="Times New Roman" w:hAnsi="Arial" w:cs="Arial"/>
          <w:b/>
          <w:bCs/>
          <w:color w:val="5C5856"/>
          <w:sz w:val="21"/>
          <w:szCs w:val="21"/>
          <w:lang w:eastAsia="nl-BE"/>
        </w:rPr>
        <w:t xml:space="preserve">Voorbeelden </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Op 15 januari wordt een factuur opgesteld die betrekking heeft op de periode van 1 januari tot en met 31 maart. De klant betaalt op 9 februari. Het belastbaar feit vindt dan plaats op 31 maart, maar de btw wordt opeisbaar op 15 januari, de datum van de voorschotfactuur. Deze btw moet dus opgenomen worden in de aangifte van januari, in te dienen uiterlijk op 20 februari.</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Als de factuur pas op 7 april opgemaakt wordt en de klant betaalt op 3 mei, dan vindt het belastbaar feit eveneens plaats op 31 maart. De btw wordt opeisbaar op 7 april, de datum van de factuur, en moet dus opgenomen worden in de aangifte van april.</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Als de factuur op 2 mei opgemaakt wordt en de klant betaalt op 4 juni, dan heeft het belastbaar feit nog steeds plaats op 31 maart. De btw wordt dan opeisbaar op 15 april, aangezien er laattijdig gefactureerd werd.</w:t>
      </w:r>
    </w:p>
    <w:p w:rsidR="00D05625" w:rsidRPr="00D05625" w:rsidRDefault="00D05625" w:rsidP="00D05625">
      <w:pPr>
        <w:shd w:val="clear" w:color="auto" w:fill="FFFFFF"/>
        <w:spacing w:after="150" w:line="324" w:lineRule="atLeast"/>
        <w:rPr>
          <w:rFonts w:ascii="Arial" w:eastAsia="Times New Roman" w:hAnsi="Arial" w:cs="Arial"/>
          <w:color w:val="333333"/>
          <w:sz w:val="20"/>
          <w:szCs w:val="20"/>
          <w:lang w:eastAsia="nl-BE"/>
        </w:rPr>
      </w:pPr>
      <w:r w:rsidRPr="00D05625">
        <w:rPr>
          <w:rFonts w:ascii="Arial" w:eastAsia="Times New Roman" w:hAnsi="Arial" w:cs="Arial"/>
          <w:color w:val="333333"/>
          <w:sz w:val="20"/>
          <w:szCs w:val="20"/>
          <w:lang w:eastAsia="nl-BE"/>
        </w:rPr>
        <w:t>De datum waarop de klant de factuur betaalt, is dus in geen enkel opzicht van belang, behalve indien de klant een betaling zou verrichten vooraleer er een factuur is.</w:t>
      </w:r>
    </w:p>
    <w:p w:rsidR="00D05625" w:rsidRPr="00D05625" w:rsidRDefault="00D05625" w:rsidP="00D05625">
      <w:pPr>
        <w:numPr>
          <w:ilvl w:val="0"/>
          <w:numId w:val="1"/>
        </w:numPr>
        <w:shd w:val="clear" w:color="auto" w:fill="FFFFFF"/>
        <w:spacing w:after="225" w:line="324" w:lineRule="atLeast"/>
        <w:ind w:left="450"/>
        <w:rPr>
          <w:rFonts w:ascii="Arial" w:eastAsia="Times New Roman" w:hAnsi="Arial" w:cs="Arial"/>
          <w:i/>
          <w:iCs/>
          <w:color w:val="333333"/>
          <w:sz w:val="21"/>
          <w:szCs w:val="21"/>
          <w:lang w:eastAsia="nl-BE"/>
        </w:rPr>
      </w:pPr>
      <w:r w:rsidRPr="00D05625">
        <w:rPr>
          <w:rFonts w:ascii="Arial" w:eastAsia="Times New Roman" w:hAnsi="Arial" w:cs="Arial"/>
          <w:i/>
          <w:iCs/>
          <w:color w:val="333333"/>
          <w:sz w:val="21"/>
          <w:szCs w:val="21"/>
          <w:lang w:eastAsia="nl-BE"/>
        </w:rPr>
        <w:t>Het belastbaar feit vindt bij een doorlopende dienst plaats op het einde van de periode waarop de dienst betrekking heeft.</w:t>
      </w:r>
    </w:p>
    <w:p w:rsidR="00D05625" w:rsidRPr="00D05625" w:rsidRDefault="00D05625" w:rsidP="00D05625">
      <w:pPr>
        <w:numPr>
          <w:ilvl w:val="0"/>
          <w:numId w:val="1"/>
        </w:numPr>
        <w:shd w:val="clear" w:color="auto" w:fill="FFFFFF"/>
        <w:spacing w:after="225" w:line="324" w:lineRule="atLeast"/>
        <w:ind w:left="450"/>
        <w:rPr>
          <w:rFonts w:ascii="Arial" w:eastAsia="Times New Roman" w:hAnsi="Arial" w:cs="Arial"/>
          <w:i/>
          <w:iCs/>
          <w:color w:val="333333"/>
          <w:sz w:val="21"/>
          <w:szCs w:val="21"/>
          <w:lang w:eastAsia="nl-BE"/>
        </w:rPr>
      </w:pPr>
      <w:r w:rsidRPr="00D05625">
        <w:rPr>
          <w:rFonts w:ascii="Arial" w:eastAsia="Times New Roman" w:hAnsi="Arial" w:cs="Arial"/>
          <w:i/>
          <w:iCs/>
          <w:color w:val="333333"/>
          <w:sz w:val="21"/>
          <w:szCs w:val="21"/>
          <w:lang w:eastAsia="nl-BE"/>
        </w:rPr>
        <w:lastRenderedPageBreak/>
        <w:t>De btw wordt in principe opeisbaar op het moment van het uitreiken van de (voorschot)factuur. Als de factuur nog niet opgemaakt is op de 15de dag van de maand volgend op de maand waarin het belastbaar feit heeft plaatsgevonden, dan wordt de btw op die dag opeisbaar.</w:t>
      </w:r>
    </w:p>
    <w:p w:rsidR="007D1652" w:rsidRPr="00D05625" w:rsidRDefault="00D05625">
      <w:pPr>
        <w:rPr>
          <w:sz w:val="18"/>
          <w:szCs w:val="18"/>
        </w:rPr>
      </w:pPr>
      <w:r w:rsidRPr="00D05625">
        <w:rPr>
          <w:sz w:val="18"/>
          <w:szCs w:val="18"/>
        </w:rPr>
        <w:t>(bron : tips en advies ondernemingsdatabank, 03/02/2020)</w:t>
      </w:r>
    </w:p>
    <w:sectPr w:rsidR="007D1652" w:rsidRPr="00D05625" w:rsidSect="006165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515D"/>
    <w:multiLevelType w:val="multilevel"/>
    <w:tmpl w:val="5CCC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25"/>
    <w:rsid w:val="00103891"/>
    <w:rsid w:val="00582D65"/>
    <w:rsid w:val="005C0AE3"/>
    <w:rsid w:val="006165E6"/>
    <w:rsid w:val="007D1652"/>
    <w:rsid w:val="009908EB"/>
    <w:rsid w:val="00D05625"/>
    <w:rsid w:val="00D2275E"/>
    <w:rsid w:val="00D81E63"/>
    <w:rsid w:val="00E27A63"/>
    <w:rsid w:val="00FF3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D621"/>
  <w15:chartTrackingRefBased/>
  <w15:docId w15:val="{4A18EAD5-E2FF-44C1-A61A-B361FA4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3891"/>
    <w:pPr>
      <w:spacing w:after="0" w:line="240" w:lineRule="auto"/>
    </w:pPr>
    <w:rPr>
      <w:rFonts w:ascii="Times New Roman" w:hAnsi="Times New Roman"/>
    </w:rPr>
  </w:style>
  <w:style w:type="paragraph" w:styleId="Kop1">
    <w:name w:val="heading 1"/>
    <w:basedOn w:val="Standaard"/>
    <w:next w:val="Standaard"/>
    <w:link w:val="Kop1Char"/>
    <w:uiPriority w:val="9"/>
    <w:qFormat/>
    <w:rsid w:val="00FF3898"/>
    <w:pPr>
      <w:keepNext/>
      <w:keepLines/>
      <w:outlineLvl w:val="0"/>
    </w:pPr>
    <w:rPr>
      <w:rFonts w:eastAsiaTheme="majorEastAsia" w:cstheme="majorBidi"/>
      <w:b/>
      <w:color w:val="000000" w:themeColor="text1"/>
      <w:szCs w:val="32"/>
      <w:u w:val="single"/>
    </w:rPr>
  </w:style>
  <w:style w:type="paragraph" w:styleId="Kop2">
    <w:name w:val="heading 2"/>
    <w:basedOn w:val="Standaard"/>
    <w:next w:val="Standaard"/>
    <w:link w:val="Kop2Char"/>
    <w:uiPriority w:val="9"/>
    <w:unhideWhenUsed/>
    <w:qFormat/>
    <w:rsid w:val="00FF3898"/>
    <w:pPr>
      <w:keepNext/>
      <w:keepLines/>
      <w:spacing w:before="40"/>
      <w:outlineLvl w:val="1"/>
    </w:pPr>
    <w:rPr>
      <w:rFonts w:eastAsiaTheme="majorEastAsia" w:cstheme="majorBidi"/>
      <w:color w:val="000000" w:themeColor="text1"/>
      <w:sz w:val="28"/>
      <w:szCs w:val="26"/>
    </w:rPr>
  </w:style>
  <w:style w:type="paragraph" w:styleId="Kop3">
    <w:name w:val="heading 3"/>
    <w:basedOn w:val="Standaard"/>
    <w:link w:val="Kop3Char"/>
    <w:uiPriority w:val="9"/>
    <w:qFormat/>
    <w:rsid w:val="00D05625"/>
    <w:pPr>
      <w:spacing w:before="100" w:beforeAutospacing="1" w:after="100" w:afterAutospacing="1"/>
      <w:outlineLvl w:val="2"/>
    </w:pPr>
    <w:rPr>
      <w:rFonts w:eastAsia="Times New Roman" w:cs="Times New Roman"/>
      <w:b/>
      <w:bCs/>
      <w:sz w:val="27"/>
      <w:szCs w:val="27"/>
      <w:lang w:eastAsia="nl-BE"/>
    </w:rPr>
  </w:style>
  <w:style w:type="paragraph" w:styleId="Kop4">
    <w:name w:val="heading 4"/>
    <w:basedOn w:val="Standaard"/>
    <w:link w:val="Kop4Char"/>
    <w:uiPriority w:val="9"/>
    <w:qFormat/>
    <w:rsid w:val="00D05625"/>
    <w:pPr>
      <w:spacing w:before="100" w:beforeAutospacing="1" w:after="100" w:afterAutospacing="1"/>
      <w:outlineLvl w:val="3"/>
    </w:pPr>
    <w:rPr>
      <w:rFonts w:eastAsia="Times New Roman" w:cs="Times New Roman"/>
      <w:b/>
      <w:bCs/>
      <w:sz w:val="24"/>
      <w:szCs w:val="24"/>
      <w:lang w:eastAsia="nl-BE"/>
    </w:rPr>
  </w:style>
  <w:style w:type="paragraph" w:styleId="Kop5">
    <w:name w:val="heading 5"/>
    <w:basedOn w:val="Standaard"/>
    <w:link w:val="Kop5Char"/>
    <w:uiPriority w:val="9"/>
    <w:qFormat/>
    <w:rsid w:val="00D05625"/>
    <w:pPr>
      <w:spacing w:before="100" w:beforeAutospacing="1" w:after="100" w:afterAutospacing="1"/>
      <w:outlineLvl w:val="4"/>
    </w:pPr>
    <w:rPr>
      <w:rFonts w:eastAsia="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3891"/>
    <w:pPr>
      <w:spacing w:after="0" w:line="240" w:lineRule="auto"/>
    </w:pPr>
    <w:rPr>
      <w:rFonts w:ascii="Arial" w:hAnsi="Arial"/>
      <w:sz w:val="20"/>
    </w:rPr>
  </w:style>
  <w:style w:type="character" w:customStyle="1" w:styleId="Kop1Char">
    <w:name w:val="Kop 1 Char"/>
    <w:basedOn w:val="Standaardalinea-lettertype"/>
    <w:link w:val="Kop1"/>
    <w:uiPriority w:val="9"/>
    <w:rsid w:val="00FF3898"/>
    <w:rPr>
      <w:rFonts w:ascii="Times New Roman" w:eastAsiaTheme="majorEastAsia" w:hAnsi="Times New Roman" w:cstheme="majorBidi"/>
      <w:b/>
      <w:color w:val="000000" w:themeColor="text1"/>
      <w:szCs w:val="32"/>
      <w:u w:val="single"/>
    </w:rPr>
  </w:style>
  <w:style w:type="character" w:customStyle="1" w:styleId="Kop2Char">
    <w:name w:val="Kop 2 Char"/>
    <w:basedOn w:val="Standaardalinea-lettertype"/>
    <w:link w:val="Kop2"/>
    <w:uiPriority w:val="9"/>
    <w:rsid w:val="00FF3898"/>
    <w:rPr>
      <w:rFonts w:ascii="Times New Roman" w:eastAsiaTheme="majorEastAsia" w:hAnsi="Times New Roman" w:cstheme="majorBidi"/>
      <w:color w:val="000000" w:themeColor="text1"/>
      <w:sz w:val="28"/>
      <w:szCs w:val="26"/>
    </w:rPr>
  </w:style>
  <w:style w:type="character" w:customStyle="1" w:styleId="Kop3Char">
    <w:name w:val="Kop 3 Char"/>
    <w:basedOn w:val="Standaardalinea-lettertype"/>
    <w:link w:val="Kop3"/>
    <w:uiPriority w:val="9"/>
    <w:rsid w:val="00D05625"/>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D05625"/>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D05625"/>
    <w:rPr>
      <w:rFonts w:ascii="Times New Roman" w:eastAsia="Times New Roman" w:hAnsi="Times New Roman" w:cs="Times New Roman"/>
      <w:b/>
      <w:bCs/>
      <w:sz w:val="20"/>
      <w:szCs w:val="20"/>
      <w:lang w:eastAsia="nl-BE"/>
    </w:rPr>
  </w:style>
  <w:style w:type="paragraph" w:styleId="Normaalweb">
    <w:name w:val="Normal (Web)"/>
    <w:basedOn w:val="Standaard"/>
    <w:uiPriority w:val="99"/>
    <w:semiHidden/>
    <w:unhideWhenUsed/>
    <w:rsid w:val="00D05625"/>
    <w:pPr>
      <w:spacing w:before="100" w:beforeAutospacing="1" w:after="100" w:afterAutospacing="1"/>
    </w:pPr>
    <w:rPr>
      <w:rFonts w:eastAsia="Times New Roman" w:cs="Times New Roman"/>
      <w:sz w:val="24"/>
      <w:szCs w:val="24"/>
      <w:lang w:eastAsia="nl-BE"/>
    </w:rPr>
  </w:style>
  <w:style w:type="character" w:customStyle="1" w:styleId="source-reference">
    <w:name w:val="source-reference"/>
    <w:basedOn w:val="Standaardalinea-lettertype"/>
    <w:rsid w:val="00D05625"/>
  </w:style>
  <w:style w:type="character" w:styleId="Zwaar">
    <w:name w:val="Strong"/>
    <w:basedOn w:val="Standaardalinea-lettertype"/>
    <w:uiPriority w:val="22"/>
    <w:qFormat/>
    <w:rsid w:val="00D05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17078">
      <w:bodyDiv w:val="1"/>
      <w:marLeft w:val="0"/>
      <w:marRight w:val="0"/>
      <w:marTop w:val="0"/>
      <w:marBottom w:val="0"/>
      <w:divBdr>
        <w:top w:val="none" w:sz="0" w:space="0" w:color="auto"/>
        <w:left w:val="none" w:sz="0" w:space="0" w:color="auto"/>
        <w:bottom w:val="none" w:sz="0" w:space="0" w:color="auto"/>
        <w:right w:val="none" w:sz="0" w:space="0" w:color="auto"/>
      </w:divBdr>
      <w:divsChild>
        <w:div w:id="186525181">
          <w:marLeft w:val="0"/>
          <w:marRight w:val="0"/>
          <w:marTop w:val="0"/>
          <w:marBottom w:val="0"/>
          <w:divBdr>
            <w:top w:val="none" w:sz="0" w:space="0" w:color="auto"/>
            <w:left w:val="none" w:sz="0" w:space="0" w:color="auto"/>
            <w:bottom w:val="none" w:sz="0" w:space="0" w:color="auto"/>
            <w:right w:val="none" w:sz="0" w:space="0" w:color="auto"/>
          </w:divBdr>
        </w:div>
        <w:div w:id="592208464">
          <w:marLeft w:val="0"/>
          <w:marRight w:val="0"/>
          <w:marTop w:val="0"/>
          <w:marBottom w:val="0"/>
          <w:divBdr>
            <w:top w:val="none" w:sz="0" w:space="0" w:color="auto"/>
            <w:left w:val="none" w:sz="0" w:space="0" w:color="auto"/>
            <w:bottom w:val="none" w:sz="0" w:space="0" w:color="auto"/>
            <w:right w:val="none" w:sz="0" w:space="0" w:color="auto"/>
          </w:divBdr>
          <w:divsChild>
            <w:div w:id="1828205412">
              <w:marLeft w:val="150"/>
              <w:marRight w:val="0"/>
              <w:marTop w:val="0"/>
              <w:marBottom w:val="150"/>
              <w:divBdr>
                <w:top w:val="none" w:sz="0" w:space="0" w:color="auto"/>
                <w:left w:val="none" w:sz="0" w:space="0" w:color="auto"/>
                <w:bottom w:val="none" w:sz="0" w:space="0" w:color="auto"/>
                <w:right w:val="none" w:sz="0" w:space="0" w:color="auto"/>
              </w:divBdr>
              <w:divsChild>
                <w:div w:id="1443915833">
                  <w:marLeft w:val="0"/>
                  <w:marRight w:val="0"/>
                  <w:marTop w:val="0"/>
                  <w:marBottom w:val="0"/>
                  <w:divBdr>
                    <w:top w:val="none" w:sz="0" w:space="0" w:color="auto"/>
                    <w:left w:val="none" w:sz="0" w:space="0" w:color="auto"/>
                    <w:bottom w:val="none" w:sz="0" w:space="0" w:color="auto"/>
                    <w:right w:val="none" w:sz="0" w:space="0" w:color="auto"/>
                  </w:divBdr>
                  <w:divsChild>
                    <w:div w:id="1803186398">
                      <w:marLeft w:val="0"/>
                      <w:marRight w:val="0"/>
                      <w:marTop w:val="0"/>
                      <w:marBottom w:val="150"/>
                      <w:divBdr>
                        <w:top w:val="none" w:sz="0" w:space="0" w:color="auto"/>
                        <w:left w:val="none" w:sz="0" w:space="0" w:color="auto"/>
                        <w:bottom w:val="none" w:sz="0" w:space="0" w:color="auto"/>
                        <w:right w:val="none" w:sz="0" w:space="0" w:color="auto"/>
                      </w:divBdr>
                    </w:div>
                    <w:div w:id="817183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4926</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2020-02-09T16:49:00Z</dcterms:created>
  <dcterms:modified xsi:type="dcterms:W3CDTF">2020-02-09T16:52:00Z</dcterms:modified>
</cp:coreProperties>
</file>